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850" w:leftChars="354"/>
        <w:rPr>
          <w:rFonts w:eastAsia="PMingLiU"/>
          <w:sz w:val="36"/>
          <w:szCs w:val="36"/>
        </w:rPr>
      </w:pPr>
      <w:r>
        <w:rPr>
          <w:rFonts w:eastAsia="PMingLiU"/>
          <w:sz w:val="36"/>
          <w:szCs w:val="36"/>
        </w:rPr>
        <w:t>2018</w:t>
      </w:r>
      <w:r>
        <w:rPr>
          <w:rFonts w:hint="eastAsia" w:eastAsia="PMingLiU"/>
          <w:sz w:val="36"/>
          <w:szCs w:val="36"/>
        </w:rPr>
        <w:t>“銀鷹計畫“</w:t>
      </w:r>
      <w:r>
        <w:rPr>
          <w:rFonts w:eastAsia="PMingLiU"/>
          <w:sz w:val="36"/>
          <w:szCs w:val="36"/>
        </w:rPr>
        <w:t xml:space="preserve"> </w:t>
      </w:r>
      <w:r>
        <w:rPr>
          <w:rFonts w:hint="eastAsia" w:eastAsia="PMingLiU"/>
          <w:sz w:val="36"/>
          <w:szCs w:val="36"/>
        </w:rPr>
        <w:t>台灣青年學生報名簡章</w:t>
      </w:r>
    </w:p>
    <w:p>
      <w:pPr>
        <w:spacing w:line="120" w:lineRule="exact"/>
        <w:ind w:left="850" w:leftChars="354"/>
        <w:rPr>
          <w:lang w:eastAsia="zh-CN"/>
        </w:rPr>
      </w:pPr>
    </w:p>
    <w:p>
      <w:pPr>
        <w:spacing w:line="288" w:lineRule="auto"/>
        <w:ind w:firstLine="1201" w:firstLineChars="500"/>
        <w:rPr>
          <w:rFonts w:hint="eastAsia"/>
          <w:color w:val="000000" w:themeColor="text1"/>
          <w:lang w:eastAsia="zh-CN"/>
        </w:rPr>
      </w:pPr>
      <w:r>
        <w:rPr>
          <w:rFonts w:hint="eastAsia" w:eastAsia="PMingLiU"/>
          <w:b/>
          <w:color w:val="000000" w:themeColor="text1"/>
        </w:rPr>
        <w:t>一、實習時間：</w:t>
      </w:r>
      <w:r>
        <w:rPr>
          <w:rFonts w:eastAsia="PMingLiU"/>
          <w:color w:val="FF0000"/>
        </w:rPr>
        <w:t xml:space="preserve"> </w:t>
      </w:r>
      <w:r>
        <w:rPr>
          <w:rFonts w:eastAsia="PMingLiU"/>
          <w:color w:val="000000" w:themeColor="text1"/>
        </w:rPr>
        <w:t>2018</w:t>
      </w:r>
      <w:r>
        <w:rPr>
          <w:rFonts w:hint="eastAsia" w:eastAsia="PMingLiU"/>
          <w:color w:val="000000" w:themeColor="text1"/>
        </w:rPr>
        <w:t>年</w:t>
      </w:r>
      <w:r>
        <w:rPr>
          <w:rFonts w:eastAsia="PMingLiU"/>
          <w:color w:val="000000" w:themeColor="text1"/>
        </w:rPr>
        <w:t>7/30</w:t>
      </w:r>
      <w:r>
        <w:rPr>
          <w:rFonts w:hint="eastAsia" w:eastAsia="PMingLiU"/>
          <w:color w:val="000000" w:themeColor="text1"/>
        </w:rPr>
        <w:t>（一）</w:t>
      </w:r>
      <w:r>
        <w:rPr>
          <w:rFonts w:eastAsia="PMingLiU"/>
          <w:color w:val="000000" w:themeColor="text1"/>
        </w:rPr>
        <w:t>-8/17</w:t>
      </w:r>
      <w:r>
        <w:rPr>
          <w:rFonts w:hint="eastAsia" w:eastAsia="PMingLiU"/>
          <w:color w:val="000000" w:themeColor="text1"/>
        </w:rPr>
        <w:t>（五）共</w:t>
      </w:r>
      <w:r>
        <w:rPr>
          <w:rFonts w:eastAsia="PMingLiU"/>
          <w:color w:val="000000" w:themeColor="text1"/>
        </w:rPr>
        <w:t>3</w:t>
      </w:r>
      <w:r>
        <w:rPr>
          <w:rFonts w:hint="eastAsia" w:eastAsia="PMingLiU"/>
          <w:color w:val="000000" w:themeColor="text1"/>
        </w:rPr>
        <w:t>周</w:t>
      </w:r>
      <w:r>
        <w:rPr>
          <w:rFonts w:eastAsia="PMingLiU"/>
          <w:color w:val="000000" w:themeColor="text1"/>
        </w:rPr>
        <w:t>15</w:t>
      </w:r>
      <w:r>
        <w:rPr>
          <w:rFonts w:hint="eastAsia" w:eastAsia="PMingLiU"/>
          <w:color w:val="000000" w:themeColor="text1"/>
        </w:rPr>
        <w:t>個工作日</w:t>
      </w:r>
    </w:p>
    <w:p>
      <w:pPr>
        <w:spacing w:line="288" w:lineRule="auto"/>
        <w:ind w:firstLine="1201" w:firstLineChars="500"/>
        <w:rPr>
          <w:rFonts w:hint="eastAsia"/>
          <w:b/>
          <w:lang w:eastAsia="zh-CN"/>
        </w:rPr>
      </w:pPr>
      <w:r>
        <w:rPr>
          <w:rFonts w:hint="eastAsia" w:eastAsia="PMingLiU"/>
          <w:b/>
        </w:rPr>
        <w:t>二、報名資格：</w:t>
      </w:r>
    </w:p>
    <w:p>
      <w:pPr>
        <w:ind w:firstLine="1680" w:firstLineChars="700"/>
        <w:rPr>
          <w:rFonts w:hint="eastAsia"/>
          <w:lang w:eastAsia="zh-CN"/>
        </w:rPr>
      </w:pPr>
      <w:r>
        <w:rPr>
          <w:rFonts w:eastAsia="PMingLiU"/>
        </w:rPr>
        <w:t>1.</w:t>
      </w:r>
      <w:r>
        <w:rPr>
          <w:rFonts w:hint="eastAsia" w:eastAsia="PMingLiU"/>
        </w:rPr>
        <w:t>台灣大專院校學生（含研究生及博士生，需有臺灣身份證）。</w:t>
      </w:r>
    </w:p>
    <w:p>
      <w:pPr>
        <w:ind w:left="1800" w:leftChars="700" w:hanging="120" w:hangingChars="50"/>
        <w:rPr>
          <w:rFonts w:eastAsia="PMingLiU"/>
        </w:rPr>
      </w:pPr>
      <w:r>
        <w:rPr>
          <w:rFonts w:eastAsia="PMingLiU"/>
        </w:rPr>
        <w:t>2.</w:t>
      </w:r>
      <w:r>
        <w:rPr>
          <w:rFonts w:hint="eastAsia" w:eastAsia="PMingLiU"/>
        </w:rPr>
        <w:t>會計、經濟、金融、法律、外語、數學、電腦等相關專業為主，或其他專業有志於從事證券行業者。</w:t>
      </w:r>
    </w:p>
    <w:p>
      <w:pPr>
        <w:spacing w:line="288" w:lineRule="auto"/>
        <w:ind w:firstLine="1201" w:firstLineChars="500"/>
        <w:rPr>
          <w:b/>
          <w:lang w:eastAsia="zh-CN"/>
        </w:rPr>
      </w:pPr>
      <w:r>
        <w:rPr>
          <w:rFonts w:hint="eastAsia" w:eastAsia="PMingLiU"/>
          <w:b/>
        </w:rPr>
        <w:t>三、報名與分發：</w:t>
      </w:r>
    </w:p>
    <w:p>
      <w:pPr>
        <w:ind w:firstLine="1680" w:firstLineChars="700"/>
        <w:rPr>
          <w:color w:val="000000" w:themeColor="text1"/>
          <w:lang w:eastAsia="zh-CN"/>
        </w:rPr>
      </w:pPr>
      <w:r>
        <w:rPr>
          <w:rFonts w:eastAsia="PMingLiU"/>
          <w:color w:val="000000" w:themeColor="text1"/>
        </w:rPr>
        <w:t xml:space="preserve">1. </w:t>
      </w:r>
      <w:r>
        <w:rPr>
          <w:rFonts w:hint="eastAsia" w:eastAsia="PMingLiU"/>
          <w:color w:val="000000" w:themeColor="text1"/>
        </w:rPr>
        <w:t>填寫報名表（如附件），需有就讀學校教師推薦。</w:t>
      </w:r>
    </w:p>
    <w:p>
      <w:pPr>
        <w:ind w:firstLine="1680" w:firstLineChars="700"/>
        <w:rPr>
          <w:rFonts w:hint="eastAsia"/>
          <w:lang w:eastAsia="zh-CN"/>
        </w:rPr>
      </w:pPr>
      <w:r>
        <w:rPr>
          <w:rFonts w:eastAsia="PMingLiU"/>
        </w:rPr>
        <w:t xml:space="preserve">2. </w:t>
      </w:r>
      <w:r>
        <w:rPr>
          <w:rFonts w:hint="eastAsia" w:eastAsia="PMingLiU"/>
        </w:rPr>
        <w:t>由學校製作報名總表（</w:t>
      </w:r>
      <w:r>
        <w:rPr>
          <w:rFonts w:hint="eastAsia" w:eastAsia="PMingLiU"/>
          <w:u w:val="single"/>
        </w:rPr>
        <w:t>此為分發重要參考，請依推薦順序排列</w:t>
      </w:r>
      <w:r>
        <w:rPr>
          <w:rFonts w:hint="eastAsia" w:eastAsia="PMingLiU"/>
        </w:rPr>
        <w:t>），並於</w:t>
      </w:r>
      <w:r>
        <w:rPr>
          <w:rFonts w:eastAsia="PMingLiU"/>
        </w:rPr>
        <w:t>6/18</w:t>
      </w:r>
    </w:p>
    <w:p>
      <w:pPr>
        <w:ind w:firstLine="2040" w:firstLineChars="850"/>
        <w:rPr>
          <w:lang w:eastAsia="zh-CN"/>
        </w:rPr>
      </w:pPr>
      <w:r>
        <w:rPr>
          <w:rFonts w:hint="eastAsia" w:eastAsia="PMingLiU"/>
        </w:rPr>
        <w:t>日前以指定格式送交主辦單位。</w:t>
      </w:r>
    </w:p>
    <w:p>
      <w:pPr>
        <w:ind w:firstLine="1680" w:firstLineChars="700"/>
        <w:rPr>
          <w:rFonts w:hint="eastAsia"/>
          <w:lang w:eastAsia="zh-CN"/>
        </w:rPr>
      </w:pPr>
      <w:r>
        <w:rPr>
          <w:rFonts w:eastAsia="PMingLiU"/>
        </w:rPr>
        <w:t xml:space="preserve">3. </w:t>
      </w:r>
      <w:r>
        <w:rPr>
          <w:rFonts w:hint="eastAsia" w:eastAsia="PMingLiU"/>
        </w:rPr>
        <w:t>主辦單位審核報名表及資料無誤後，整體考量實習單位的實際需求</w:t>
      </w:r>
    </w:p>
    <w:p>
      <w:pPr>
        <w:spacing w:line="288" w:lineRule="auto"/>
        <w:ind w:firstLine="2040" w:firstLineChars="850"/>
        <w:rPr>
          <w:rFonts w:hint="eastAsia"/>
          <w:color w:val="000000" w:themeColor="text1"/>
          <w:lang w:eastAsia="zh-CN"/>
        </w:rPr>
      </w:pPr>
      <w:r>
        <w:rPr>
          <w:rFonts w:hint="eastAsia" w:eastAsia="PMingLiU"/>
        </w:rPr>
        <w:t>及學生專業、特長，並進行分發，錄取名單於</w:t>
      </w:r>
      <w:r>
        <w:rPr>
          <w:rFonts w:eastAsia="PMingLiU"/>
        </w:rPr>
        <w:t>6/30</w:t>
      </w:r>
      <w:r>
        <w:rPr>
          <w:rFonts w:hint="eastAsia" w:eastAsia="PMingLiU"/>
        </w:rPr>
        <w:t>日前</w:t>
      </w:r>
      <w:r>
        <w:rPr>
          <w:rFonts w:hint="eastAsia" w:eastAsia="PMingLiU"/>
          <w:color w:val="000000" w:themeColor="text1"/>
        </w:rPr>
        <w:t>由校方個別通知。</w:t>
      </w:r>
    </w:p>
    <w:p>
      <w:pPr>
        <w:widowControl/>
        <w:spacing w:line="288" w:lineRule="auto"/>
        <w:ind w:firstLine="1201" w:firstLineChars="500"/>
        <w:rPr>
          <w:lang w:eastAsia="zh-CN"/>
        </w:rPr>
      </w:pPr>
      <w:r>
        <w:rPr>
          <w:rFonts w:hint="eastAsia" w:eastAsia="PMingLiU"/>
          <w:b/>
        </w:rPr>
        <w:t>四、實習單位：</w:t>
      </w:r>
      <w:r>
        <w:rPr>
          <w:rFonts w:eastAsia="PMingLiU"/>
          <w:b/>
        </w:rPr>
        <w:t>(</w:t>
      </w:r>
      <w:r>
        <w:rPr>
          <w:rFonts w:hint="eastAsia" w:eastAsia="PMingLiU"/>
          <w:b/>
        </w:rPr>
        <w:t>各單位簡介如附件</w:t>
      </w:r>
      <w:r>
        <w:rPr>
          <w:rFonts w:eastAsia="PMingLiU"/>
          <w:b/>
        </w:rPr>
        <w:t>)</w:t>
      </w:r>
    </w:p>
    <w:p>
      <w:pPr>
        <w:rPr>
          <w:rFonts w:ascii="Calibri" w:hAnsi="Calibri" w:cs="Times New Roman"/>
          <w:lang w:eastAsia="zh-CN"/>
        </w:rPr>
      </w:pPr>
      <w:r>
        <w:rPr>
          <w:rFonts w:eastAsia="PMingLiU"/>
        </w:rPr>
        <w:t xml:space="preserve">              1.</w:t>
      </w:r>
      <w:r>
        <w:rPr>
          <w:rFonts w:hint="eastAsia" w:eastAsia="PMingLiU"/>
        </w:rPr>
        <w:t>上海證券交易所</w:t>
      </w:r>
      <w:r>
        <w:rPr>
          <w:rFonts w:hint="eastAsia" w:ascii="Calibri" w:hAnsi="Calibri" w:eastAsia="PMingLiU" w:cs="Times New Roman"/>
        </w:rPr>
        <w:t>（</w:t>
      </w:r>
      <w:r>
        <w:rPr>
          <w:rFonts w:hint="eastAsia" w:eastAsia="PMingLiU"/>
        </w:rPr>
        <w:t>上海，</w:t>
      </w:r>
      <w:r>
        <w:rPr>
          <w:rFonts w:ascii="Calibri" w:hAnsi="Calibri" w:eastAsia="PMingLiU" w:cs="Times New Roman"/>
        </w:rPr>
        <w:t>70</w:t>
      </w:r>
      <w:r>
        <w:rPr>
          <w:rFonts w:hint="eastAsia" w:eastAsia="PMingLiU"/>
        </w:rPr>
        <w:t>名）簡稱：上交所</w:t>
      </w:r>
    </w:p>
    <w:p>
      <w:pPr>
        <w:ind w:left="2280" w:hanging="2280" w:hangingChars="950"/>
        <w:rPr>
          <w:rFonts w:ascii="Calibri" w:hAnsi="Calibri" w:cs="Times New Roman"/>
          <w:lang w:eastAsia="zh-CN"/>
        </w:rPr>
      </w:pPr>
      <w:r>
        <w:rPr>
          <w:rFonts w:eastAsia="PMingLiU"/>
        </w:rPr>
        <w:t xml:space="preserve">              2.</w:t>
      </w:r>
      <w:r>
        <w:rPr>
          <w:rFonts w:hint="eastAsia" w:eastAsia="PMingLiU"/>
        </w:rPr>
        <w:t>深圳證券交易所</w:t>
      </w:r>
      <w:r>
        <w:rPr>
          <w:rFonts w:hint="eastAsia" w:ascii="Calibri" w:hAnsi="Calibri" w:eastAsia="PMingLiU" w:cs="Times New Roman"/>
        </w:rPr>
        <w:t>（</w:t>
      </w:r>
      <w:r>
        <w:rPr>
          <w:rFonts w:hint="eastAsia" w:eastAsia="PMingLiU"/>
        </w:rPr>
        <w:t>深圳、</w:t>
      </w:r>
      <w:r>
        <w:rPr>
          <w:rFonts w:ascii="Calibri" w:hAnsi="Calibri" w:eastAsia="PMingLiU" w:cs="Times New Roman"/>
        </w:rPr>
        <w:t>70</w:t>
      </w:r>
      <w:r>
        <w:rPr>
          <w:rFonts w:hint="eastAsia" w:ascii="Calibri" w:hAnsi="Calibri" w:eastAsia="PMingLiU" w:cs="Times New Roman"/>
        </w:rPr>
        <w:t>人）簡稱：深交所</w:t>
      </w:r>
    </w:p>
    <w:p>
      <w:pPr>
        <w:rPr>
          <w:rFonts w:hint="eastAsia"/>
          <w:lang w:eastAsia="zh-CN"/>
        </w:rPr>
      </w:pPr>
      <w:r>
        <w:rPr>
          <w:rFonts w:eastAsia="PMingLiU"/>
        </w:rPr>
        <w:t xml:space="preserve">              3.</w:t>
      </w:r>
      <w:r>
        <w:rPr>
          <w:rFonts w:hint="eastAsia" w:eastAsia="PMingLiU"/>
        </w:rPr>
        <w:t>大連商品交易所（大連、</w:t>
      </w:r>
      <w:r>
        <w:rPr>
          <w:rFonts w:eastAsia="PMingLiU"/>
        </w:rPr>
        <w:t>40</w:t>
      </w:r>
      <w:r>
        <w:rPr>
          <w:rFonts w:hint="eastAsia" w:eastAsia="PMingLiU"/>
        </w:rPr>
        <w:t>人）簡稱：大商所</w:t>
      </w:r>
      <w:r>
        <w:rPr>
          <w:rFonts w:hint="eastAsia"/>
          <w:lang w:eastAsia="zh-CN"/>
        </w:rPr>
        <w:t xml:space="preserve">     </w:t>
      </w:r>
    </w:p>
    <w:p>
      <w:pPr>
        <w:spacing w:line="288" w:lineRule="auto"/>
        <w:ind w:firstLine="1680" w:firstLineChars="700"/>
        <w:rPr>
          <w:rFonts w:hint="eastAsia"/>
          <w:lang w:eastAsia="zh-CN"/>
        </w:rPr>
      </w:pPr>
      <w:r>
        <w:rPr>
          <w:rFonts w:eastAsia="PMingLiU"/>
        </w:rPr>
        <w:t>4.</w:t>
      </w:r>
      <w:r>
        <w:rPr>
          <w:rFonts w:hint="eastAsia" w:eastAsia="PMingLiU"/>
        </w:rPr>
        <w:t>鄭州商品交易所（鄭州、</w:t>
      </w:r>
      <w:r>
        <w:rPr>
          <w:rFonts w:eastAsia="PMingLiU"/>
        </w:rPr>
        <w:t>40</w:t>
      </w:r>
      <w:r>
        <w:rPr>
          <w:rFonts w:hint="eastAsia" w:eastAsia="PMingLiU"/>
        </w:rPr>
        <w:t>人）簡稱：鄭商所</w:t>
      </w:r>
    </w:p>
    <w:p>
      <w:pPr>
        <w:spacing w:line="288" w:lineRule="auto"/>
        <w:ind w:left="1680" w:hanging="1680" w:hangingChars="700"/>
        <w:rPr>
          <w:lang w:eastAsia="zh-CN"/>
        </w:rPr>
      </w:pPr>
      <w:r>
        <w:rPr>
          <w:rFonts w:eastAsia="PMingLiU"/>
        </w:rPr>
        <w:t xml:space="preserve">          </w:t>
      </w:r>
      <w:r>
        <w:rPr>
          <w:rFonts w:hint="eastAsia" w:eastAsia="PMingLiU"/>
          <w:b/>
        </w:rPr>
        <w:t>五、工作內容：</w:t>
      </w:r>
      <w:r>
        <w:rPr>
          <w:rFonts w:hint="eastAsia" w:ascii="Calibri" w:hAnsi="Calibri" w:eastAsia="PMingLiU" w:cs="Times New Roman"/>
        </w:rPr>
        <w:t>依各實習單位業務而定，實習單位派有專人指導開展工作，熟悉環境及日常管理。實習結束需完成書面實習報告。</w:t>
      </w:r>
    </w:p>
    <w:p>
      <w:pPr>
        <w:spacing w:line="288" w:lineRule="auto"/>
        <w:ind w:left="1801" w:leftChars="500" w:hanging="601" w:hangingChars="250"/>
        <w:rPr>
          <w:lang w:eastAsia="zh-CN"/>
        </w:rPr>
      </w:pPr>
      <w:r>
        <w:rPr>
          <w:rFonts w:hint="eastAsia" w:eastAsia="PMingLiU"/>
          <w:b/>
        </w:rPr>
        <w:t>六、實習待遇</w:t>
      </w:r>
      <w:r>
        <w:rPr>
          <w:rFonts w:hint="eastAsia" w:eastAsia="PMingLiU"/>
        </w:rPr>
        <w:t>：</w:t>
      </w:r>
      <w:r>
        <w:rPr>
          <w:rFonts w:hint="eastAsia"/>
        </w:rPr>
        <w:t xml:space="preserve"> </w:t>
      </w:r>
    </w:p>
    <w:p>
      <w:pPr>
        <w:ind w:firstLine="1682" w:firstLineChars="700"/>
        <w:rPr>
          <w:color w:val="FF0000"/>
        </w:rPr>
      </w:pPr>
      <w:r>
        <w:rPr>
          <w:rFonts w:eastAsia="PMingLiU"/>
          <w:b/>
        </w:rPr>
        <w:t xml:space="preserve">1. </w:t>
      </w:r>
      <w:r>
        <w:rPr>
          <w:rFonts w:hint="eastAsia" w:eastAsia="PMingLiU"/>
          <w:b/>
        </w:rPr>
        <w:t>交通：</w:t>
      </w:r>
      <w:r>
        <w:rPr>
          <w:rFonts w:hint="eastAsia" w:eastAsia="PMingLiU"/>
        </w:rPr>
        <w:t>實習人員需自行負責台</w:t>
      </w:r>
      <w:r>
        <w:rPr>
          <w:rFonts w:hint="eastAsia" w:eastAsia="PMingLiU"/>
          <w:color w:val="000000" w:themeColor="text1"/>
        </w:rPr>
        <w:t>灣往返大陸工作地之機票</w:t>
      </w:r>
      <w:r>
        <w:rPr>
          <w:rFonts w:hint="eastAsia" w:eastAsia="PMingLiU"/>
        </w:rPr>
        <w:t>。</w:t>
      </w:r>
    </w:p>
    <w:p>
      <w:pPr>
        <w:pStyle w:val="10"/>
        <w:ind w:left="1686" w:leftChars="0"/>
      </w:pPr>
      <w:r>
        <w:rPr>
          <w:rFonts w:eastAsia="PMingLiU"/>
          <w:b/>
        </w:rPr>
        <w:t xml:space="preserve">2. </w:t>
      </w:r>
      <w:r>
        <w:rPr>
          <w:rFonts w:hint="eastAsia" w:eastAsia="PMingLiU"/>
          <w:b/>
        </w:rPr>
        <w:t>食宿</w:t>
      </w:r>
      <w:r>
        <w:rPr>
          <w:rFonts w:hint="eastAsia" w:eastAsia="PMingLiU"/>
        </w:rPr>
        <w:t>：由實習單位統一提供。</w:t>
      </w:r>
    </w:p>
    <w:p>
      <w:pPr>
        <w:ind w:firstLine="1682" w:firstLineChars="700"/>
        <w:rPr>
          <w:color w:val="000000" w:themeColor="text1"/>
        </w:rPr>
      </w:pPr>
      <w:r>
        <w:rPr>
          <w:rFonts w:eastAsia="PMingLiU"/>
          <w:b/>
        </w:rPr>
        <w:t xml:space="preserve">3. </w:t>
      </w:r>
      <w:r>
        <w:rPr>
          <w:rFonts w:hint="eastAsia" w:eastAsia="PMingLiU"/>
          <w:b/>
        </w:rPr>
        <w:t>實習薪資：</w:t>
      </w:r>
      <w:r>
        <w:rPr>
          <w:rFonts w:hint="eastAsia" w:eastAsia="PMingLiU"/>
        </w:rPr>
        <w:t>每人</w:t>
      </w:r>
      <w:r>
        <w:rPr>
          <w:rFonts w:eastAsia="PMingLiU"/>
        </w:rPr>
        <w:t xml:space="preserve"> </w:t>
      </w:r>
      <w:r>
        <w:rPr>
          <w:rFonts w:hint="eastAsia" w:eastAsia="PMingLiU"/>
        </w:rPr>
        <w:t>每天</w:t>
      </w:r>
      <w:r>
        <w:rPr>
          <w:rFonts w:eastAsia="PMingLiU"/>
        </w:rPr>
        <w:t>100</w:t>
      </w:r>
      <w:r>
        <w:rPr>
          <w:rFonts w:hint="eastAsia" w:eastAsia="PMingLiU"/>
        </w:rPr>
        <w:t>元人民幣</w:t>
      </w:r>
      <w:r>
        <w:rPr>
          <w:rFonts w:eastAsia="PMingLiU"/>
        </w:rPr>
        <w:t>(</w:t>
      </w:r>
      <w:r>
        <w:rPr>
          <w:rFonts w:hint="eastAsia" w:eastAsia="PMingLiU"/>
        </w:rPr>
        <w:t>實習期間合計</w:t>
      </w:r>
      <w:r>
        <w:rPr>
          <w:rFonts w:eastAsia="PMingLiU"/>
        </w:rPr>
        <w:t>1500</w:t>
      </w:r>
      <w:r>
        <w:rPr>
          <w:rFonts w:hint="eastAsia" w:eastAsia="PMingLiU"/>
        </w:rPr>
        <w:t>元人民幣</w:t>
      </w:r>
      <w:r>
        <w:rPr>
          <w:rFonts w:eastAsia="PMingLiU"/>
        </w:rPr>
        <w:t>)</w:t>
      </w:r>
      <w:r>
        <w:rPr>
          <w:rFonts w:hint="eastAsia" w:eastAsia="PMingLiU"/>
        </w:rPr>
        <w:t>。</w:t>
      </w:r>
    </w:p>
    <w:p>
      <w:pPr>
        <w:pStyle w:val="10"/>
        <w:ind w:left="2050" w:leftChars="0"/>
        <w:rPr>
          <w:rFonts w:eastAsia="宋体"/>
          <w:b/>
        </w:rPr>
      </w:pPr>
      <w:r>
        <w:rPr>
          <w:rFonts w:hint="eastAsia" w:eastAsia="PMingLiU"/>
          <w:b/>
          <w:sz w:val="21"/>
          <w:szCs w:val="21"/>
        </w:rPr>
        <w:t>各校統一報名資料請寄郵箱：</w:t>
      </w:r>
      <w:r>
        <w:rPr>
          <w:rFonts w:eastAsia="PMingLiU"/>
          <w:b/>
        </w:rPr>
        <w:t xml:space="preserve"> </w:t>
      </w:r>
      <w:r>
        <w:fldChar w:fldCharType="begin"/>
      </w:r>
      <w:r>
        <w:instrText xml:space="preserve"> HYPERLINK "mailto:fuwentsai@126.com" </w:instrText>
      </w:r>
      <w:r>
        <w:fldChar w:fldCharType="separate"/>
      </w:r>
      <w:r>
        <w:rPr>
          <w:rStyle w:val="6"/>
          <w:rFonts w:eastAsia="PMingLiU"/>
          <w:b/>
        </w:rPr>
        <w:t>fuwentsai@126.com</w:t>
      </w:r>
      <w:r>
        <w:rPr>
          <w:rStyle w:val="6"/>
          <w:rFonts w:eastAsia="PMingLiU"/>
          <w:b/>
        </w:rPr>
        <w:fldChar w:fldCharType="end"/>
      </w:r>
    </w:p>
    <w:p>
      <w:pPr>
        <w:pStyle w:val="10"/>
        <w:ind w:left="120" w:leftChars="50" w:firstLine="1682" w:firstLineChars="800"/>
        <w:rPr>
          <w:sz w:val="21"/>
          <w:szCs w:val="21"/>
          <w:lang w:eastAsia="zh-CN"/>
        </w:rPr>
      </w:pPr>
      <w:r>
        <w:rPr>
          <w:rFonts w:hint="eastAsia" w:eastAsia="PMingLiU"/>
          <w:b/>
          <w:sz w:val="21"/>
          <w:szCs w:val="21"/>
        </w:rPr>
        <w:t>（或洽全國台企聯</w:t>
      </w:r>
      <w:r>
        <w:rPr>
          <w:rFonts w:eastAsia="PMingLiU"/>
          <w:b/>
          <w:sz w:val="21"/>
          <w:szCs w:val="21"/>
        </w:rPr>
        <w:t xml:space="preserve">  </w:t>
      </w:r>
      <w:r>
        <w:rPr>
          <w:rFonts w:hint="eastAsia" w:eastAsia="PMingLiU"/>
          <w:b/>
          <w:sz w:val="21"/>
          <w:szCs w:val="21"/>
        </w:rPr>
        <w:t>張強</w:t>
      </w:r>
      <w:r>
        <w:rPr>
          <w:rFonts w:hint="eastAsia" w:eastAsia="宋体"/>
          <w:sz w:val="21"/>
          <w:szCs w:val="21"/>
          <w:lang w:val="en-US" w:eastAsia="zh-CN"/>
        </w:rPr>
        <w:t>ringdy2002</w:t>
      </w:r>
      <w:r>
        <w:rPr>
          <w:rFonts w:eastAsia="PMingLiU"/>
          <w:sz w:val="21"/>
          <w:szCs w:val="21"/>
        </w:rPr>
        <w:t>@</w:t>
      </w:r>
      <w:r>
        <w:rPr>
          <w:rFonts w:hint="eastAsia" w:eastAsia="宋体"/>
          <w:sz w:val="21"/>
          <w:szCs w:val="21"/>
          <w:lang w:val="en-US" w:eastAsia="zh-CN"/>
        </w:rPr>
        <w:t>126</w:t>
      </w:r>
      <w:r>
        <w:rPr>
          <w:rFonts w:eastAsia="PMingLiU"/>
          <w:sz w:val="21"/>
          <w:szCs w:val="21"/>
        </w:rPr>
        <w:t xml:space="preserve">.com  </w:t>
      </w:r>
      <w:r>
        <w:rPr>
          <w:rFonts w:hint="eastAsia" w:eastAsia="PMingLiU"/>
          <w:sz w:val="21"/>
          <w:szCs w:val="21"/>
        </w:rPr>
        <w:t>電話：</w:t>
      </w:r>
      <w:r>
        <w:rPr>
          <w:rFonts w:eastAsia="PMingLiU"/>
          <w:sz w:val="21"/>
          <w:szCs w:val="21"/>
        </w:rPr>
        <w:t>+86-10-83550099</w:t>
      </w:r>
      <w:r>
        <w:rPr>
          <w:rFonts w:hint="eastAsia" w:eastAsia="宋体"/>
          <w:sz w:val="21"/>
          <w:szCs w:val="21"/>
          <w:lang w:val="en-US" w:eastAsia="zh-CN"/>
        </w:rPr>
        <w:t>-878</w:t>
      </w:r>
      <w:bookmarkStart w:id="0" w:name="_GoBack"/>
      <w:bookmarkEnd w:id="0"/>
    </w:p>
    <w:p>
      <w:pPr>
        <w:pStyle w:val="10"/>
        <w:ind w:left="120" w:leftChars="50" w:firstLine="2100" w:firstLineChars="1000"/>
        <w:rPr>
          <w:sz w:val="21"/>
          <w:szCs w:val="21"/>
          <w:lang w:eastAsia="zh-CN"/>
        </w:rPr>
      </w:pPr>
      <w:r>
        <w:rPr>
          <w:rFonts w:eastAsia="PMingLiU"/>
          <w:sz w:val="21"/>
          <w:szCs w:val="21"/>
        </w:rPr>
        <w:t xml:space="preserve"> </w:t>
      </w:r>
      <w:r>
        <w:rPr>
          <w:rFonts w:hint="eastAsia" w:eastAsia="PMingLiU"/>
          <w:sz w:val="21"/>
          <w:szCs w:val="21"/>
        </w:rPr>
        <w:t>傳真：</w:t>
      </w:r>
      <w:r>
        <w:rPr>
          <w:rFonts w:eastAsia="PMingLiU"/>
          <w:sz w:val="21"/>
          <w:szCs w:val="21"/>
        </w:rPr>
        <w:t xml:space="preserve">+86-10-83523828   </w:t>
      </w:r>
      <w:r>
        <w:fldChar w:fldCharType="begin"/>
      </w:r>
      <w:r>
        <w:instrText xml:space="preserve"> HYPERLINK "http://www.qgtql.com" </w:instrText>
      </w:r>
      <w:r>
        <w:fldChar w:fldCharType="separate"/>
      </w:r>
      <w:r>
        <w:rPr>
          <w:rStyle w:val="6"/>
          <w:rFonts w:eastAsia="PMingLiU"/>
          <w:sz w:val="21"/>
          <w:szCs w:val="21"/>
        </w:rPr>
        <w:t>http://www.qgtql.com</w:t>
      </w:r>
      <w:r>
        <w:rPr>
          <w:rStyle w:val="6"/>
          <w:rFonts w:eastAsia="PMingLiU"/>
          <w:sz w:val="21"/>
          <w:szCs w:val="21"/>
        </w:rPr>
        <w:fldChar w:fldCharType="end"/>
      </w:r>
      <w:r>
        <w:rPr>
          <w:rFonts w:hint="eastAsia" w:eastAsia="PMingLiU"/>
          <w:sz w:val="21"/>
          <w:szCs w:val="21"/>
        </w:rPr>
        <w:t>）</w:t>
      </w:r>
    </w:p>
    <w:sectPr>
      <w:headerReference r:id="rId3" w:type="default"/>
      <w:pgSz w:w="11906" w:h="16838"/>
      <w:pgMar w:top="1560" w:right="1700" w:bottom="720" w:left="720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PMingLiU">
    <w:panose1 w:val="02020300000000000000"/>
    <w:charset w:val="88"/>
    <w:family w:val="roman"/>
    <w:pitch w:val="default"/>
    <w:sig w:usb0="00000003" w:usb1="082E0000" w:usb2="00000016" w:usb3="00000000" w:csb0="00100001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 w:val="1"/>
  <w:bordersDoNotSurroundFooter w:val="1"/>
  <w:documentProtection w:enforcement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6B4E"/>
    <w:rsid w:val="00034B45"/>
    <w:rsid w:val="0003501F"/>
    <w:rsid w:val="0005613D"/>
    <w:rsid w:val="00056BE6"/>
    <w:rsid w:val="000C71DB"/>
    <w:rsid w:val="000D6A7D"/>
    <w:rsid w:val="0012074A"/>
    <w:rsid w:val="0014424B"/>
    <w:rsid w:val="0015635F"/>
    <w:rsid w:val="001570A8"/>
    <w:rsid w:val="00177D08"/>
    <w:rsid w:val="001A71AB"/>
    <w:rsid w:val="001C1E13"/>
    <w:rsid w:val="001C5AEE"/>
    <w:rsid w:val="001F72DB"/>
    <w:rsid w:val="0023237F"/>
    <w:rsid w:val="00246799"/>
    <w:rsid w:val="00247ACF"/>
    <w:rsid w:val="002670CC"/>
    <w:rsid w:val="00267E67"/>
    <w:rsid w:val="002B30A0"/>
    <w:rsid w:val="002C0B8F"/>
    <w:rsid w:val="00311949"/>
    <w:rsid w:val="00331F01"/>
    <w:rsid w:val="003735B5"/>
    <w:rsid w:val="00396B4E"/>
    <w:rsid w:val="003B1E4C"/>
    <w:rsid w:val="003D4EA7"/>
    <w:rsid w:val="003E2086"/>
    <w:rsid w:val="003E3C03"/>
    <w:rsid w:val="00421C86"/>
    <w:rsid w:val="0045501E"/>
    <w:rsid w:val="004829C6"/>
    <w:rsid w:val="005109D8"/>
    <w:rsid w:val="00565129"/>
    <w:rsid w:val="0057792C"/>
    <w:rsid w:val="005F4DBD"/>
    <w:rsid w:val="00614EC3"/>
    <w:rsid w:val="00624391"/>
    <w:rsid w:val="006811F5"/>
    <w:rsid w:val="006A404D"/>
    <w:rsid w:val="006A6D53"/>
    <w:rsid w:val="006C7C38"/>
    <w:rsid w:val="006E14AB"/>
    <w:rsid w:val="006E2C02"/>
    <w:rsid w:val="006F1166"/>
    <w:rsid w:val="00721B89"/>
    <w:rsid w:val="0072300A"/>
    <w:rsid w:val="00726B09"/>
    <w:rsid w:val="00767AE4"/>
    <w:rsid w:val="007B6DC3"/>
    <w:rsid w:val="00811D91"/>
    <w:rsid w:val="00836D6B"/>
    <w:rsid w:val="00841F93"/>
    <w:rsid w:val="00852BBE"/>
    <w:rsid w:val="008573DD"/>
    <w:rsid w:val="00857833"/>
    <w:rsid w:val="008638BB"/>
    <w:rsid w:val="00882AC9"/>
    <w:rsid w:val="00885140"/>
    <w:rsid w:val="008E0137"/>
    <w:rsid w:val="008E0A01"/>
    <w:rsid w:val="00923062"/>
    <w:rsid w:val="00941FEB"/>
    <w:rsid w:val="00962C1B"/>
    <w:rsid w:val="009B49F2"/>
    <w:rsid w:val="009B62DA"/>
    <w:rsid w:val="009F5F51"/>
    <w:rsid w:val="00A03223"/>
    <w:rsid w:val="00A4786A"/>
    <w:rsid w:val="00A643CF"/>
    <w:rsid w:val="00AA12E4"/>
    <w:rsid w:val="00AB0510"/>
    <w:rsid w:val="00B025FF"/>
    <w:rsid w:val="00B1083D"/>
    <w:rsid w:val="00B32B05"/>
    <w:rsid w:val="00BB6848"/>
    <w:rsid w:val="00BC229E"/>
    <w:rsid w:val="00BF2764"/>
    <w:rsid w:val="00BF7869"/>
    <w:rsid w:val="00C035F4"/>
    <w:rsid w:val="00C318B8"/>
    <w:rsid w:val="00C5431D"/>
    <w:rsid w:val="00CA37C3"/>
    <w:rsid w:val="00CB32F9"/>
    <w:rsid w:val="00CC1D73"/>
    <w:rsid w:val="00CC5320"/>
    <w:rsid w:val="00CD3B6B"/>
    <w:rsid w:val="00D233CA"/>
    <w:rsid w:val="00D44349"/>
    <w:rsid w:val="00D51047"/>
    <w:rsid w:val="00D60475"/>
    <w:rsid w:val="00D85F85"/>
    <w:rsid w:val="00D87977"/>
    <w:rsid w:val="00D9029A"/>
    <w:rsid w:val="00DC04BD"/>
    <w:rsid w:val="00DD31E8"/>
    <w:rsid w:val="00DD33D0"/>
    <w:rsid w:val="00DD40CD"/>
    <w:rsid w:val="00EB6FED"/>
    <w:rsid w:val="00EE5EE5"/>
    <w:rsid w:val="00F36319"/>
    <w:rsid w:val="00F64BA5"/>
    <w:rsid w:val="00F90CAF"/>
    <w:rsid w:val="00FC66A8"/>
    <w:rsid w:val="00FE7CFD"/>
    <w:rsid w:val="00FF0EA8"/>
    <w:rsid w:val="3206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2"/>
      <w:lang w:val="en-US" w:eastAsia="zh-TW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rFonts w:asciiTheme="majorHAnsi" w:hAnsiTheme="majorHAnsi" w:eastAsiaTheme="majorEastAsia" w:cstheme="majorBidi"/>
      <w:sz w:val="18"/>
      <w:szCs w:val="18"/>
    </w:rPr>
  </w:style>
  <w:style w:type="paragraph" w:styleId="3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basedOn w:val="5"/>
    <w:link w:val="2"/>
    <w:semiHidden/>
    <w:uiPriority w:val="99"/>
    <w:rPr>
      <w:rFonts w:asciiTheme="majorHAnsi" w:hAnsiTheme="majorHAnsi" w:eastAsiaTheme="majorEastAsia" w:cstheme="majorBidi"/>
      <w:sz w:val="18"/>
      <w:szCs w:val="18"/>
    </w:rPr>
  </w:style>
  <w:style w:type="paragraph" w:styleId="10">
    <w:name w:val="List Paragraph"/>
    <w:basedOn w:val="1"/>
    <w:qFormat/>
    <w:uiPriority w:val="34"/>
    <w:pPr>
      <w:ind w:left="480" w:leftChars="200"/>
    </w:pPr>
  </w:style>
  <w:style w:type="character" w:customStyle="1" w:styleId="11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12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3">
    <w:name w:val="apple-converted-space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E12164-764D-42DD-A6F2-E7E82E6D45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122</Words>
  <Characters>701</Characters>
  <Lines>5</Lines>
  <Paragraphs>1</Paragraphs>
  <TotalTime>0</TotalTime>
  <ScaleCrop>false</ScaleCrop>
  <LinksUpToDate>false</LinksUpToDate>
  <CharactersWithSpaces>822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2018-05-17T12:11:00Z</dcterms:created>
  <dc:creator>eugene</dc:creator>
  <cp:lastModifiedBy>空1387690080</cp:lastModifiedBy>
  <cp:lastPrinted>2016-05-31T03:53:00Z</cp:lastPrinted>
  <dcterms:modified xsi:type="dcterms:W3CDTF">2018-05-30T03:03:29Z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