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6" w:rsidRDefault="008A6000" w:rsidP="008A600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全國台企聯協辦</w:t>
      </w:r>
    </w:p>
    <w:p w:rsidR="00444A86" w:rsidRDefault="008A6000" w:rsidP="008A6000">
      <w:pPr>
        <w:jc w:val="center"/>
        <w:rPr>
          <w:sz w:val="40"/>
          <w:szCs w:val="40"/>
        </w:rPr>
      </w:pPr>
      <w:r>
        <w:rPr>
          <w:sz w:val="40"/>
          <w:szCs w:val="40"/>
        </w:rPr>
        <w:t>”</w:t>
      </w:r>
      <w:r>
        <w:rPr>
          <w:rFonts w:hint="eastAsia"/>
          <w:sz w:val="40"/>
          <w:szCs w:val="40"/>
        </w:rPr>
        <w:t>台灣學生參加</w:t>
      </w:r>
      <w:r>
        <w:rPr>
          <w:rFonts w:hint="eastAsia"/>
          <w:sz w:val="40"/>
          <w:szCs w:val="40"/>
        </w:rPr>
        <w:t>2015</w:t>
      </w:r>
      <w:r>
        <w:rPr>
          <w:rFonts w:hint="eastAsia"/>
          <w:sz w:val="40"/>
          <w:szCs w:val="40"/>
        </w:rPr>
        <w:t>年中</w:t>
      </w:r>
      <w:bookmarkStart w:id="0" w:name="_GoBack"/>
      <w:bookmarkEnd w:id="0"/>
      <w:r>
        <w:rPr>
          <w:rFonts w:hint="eastAsia"/>
          <w:sz w:val="40"/>
          <w:szCs w:val="40"/>
        </w:rPr>
        <w:t>國銀行暑期實習</w:t>
      </w:r>
      <w:r>
        <w:rPr>
          <w:sz w:val="40"/>
          <w:szCs w:val="40"/>
        </w:rPr>
        <w:t>”</w:t>
      </w:r>
      <w:r>
        <w:rPr>
          <w:rFonts w:hint="eastAsia"/>
          <w:sz w:val="40"/>
          <w:szCs w:val="40"/>
        </w:rPr>
        <w:t>簡章</w:t>
      </w:r>
    </w:p>
    <w:p w:rsidR="00444A86" w:rsidRDefault="00444A86">
      <w:pPr>
        <w:ind w:leftChars="354" w:left="850"/>
      </w:pPr>
    </w:p>
    <w:p w:rsidR="00444A86" w:rsidRDefault="00444A86">
      <w:pPr>
        <w:pStyle w:val="1"/>
        <w:ind w:leftChars="0" w:left="1210"/>
      </w:pPr>
    </w:p>
    <w:p w:rsidR="00444A86" w:rsidRDefault="008A6000">
      <w:pPr>
        <w:pStyle w:val="1"/>
        <w:numPr>
          <w:ilvl w:val="0"/>
          <w:numId w:val="1"/>
        </w:numPr>
        <w:spacing w:line="400" w:lineRule="exact"/>
        <w:ind w:leftChars="0"/>
      </w:pPr>
      <w:r>
        <w:rPr>
          <w:rFonts w:hint="eastAsia"/>
          <w:b/>
        </w:rPr>
        <w:t>時間</w:t>
      </w:r>
      <w:r>
        <w:rPr>
          <w:rFonts w:hint="eastAsia"/>
        </w:rPr>
        <w:t>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日，為期一個月。</w:t>
      </w:r>
    </w:p>
    <w:p w:rsidR="00444A86" w:rsidRDefault="008A6000">
      <w:pPr>
        <w:pStyle w:val="1"/>
        <w:numPr>
          <w:ilvl w:val="0"/>
          <w:numId w:val="1"/>
        </w:numPr>
        <w:spacing w:line="400" w:lineRule="exact"/>
        <w:ind w:leftChars="0"/>
      </w:pPr>
      <w:r>
        <w:rPr>
          <w:rFonts w:hint="eastAsia"/>
          <w:b/>
        </w:rPr>
        <w:t>實習人員資格</w:t>
      </w:r>
      <w:r>
        <w:rPr>
          <w:rFonts w:hint="eastAsia"/>
        </w:rPr>
        <w:t>：</w:t>
      </w:r>
    </w:p>
    <w:p w:rsidR="00444A86" w:rsidRDefault="008A6000">
      <w:pPr>
        <w:pStyle w:val="1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台灣大專院校學生，年級及系所不限。</w:t>
      </w:r>
    </w:p>
    <w:p w:rsidR="00444A86" w:rsidRDefault="008A6000">
      <w:pPr>
        <w:pStyle w:val="1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須由就讀學校教師推薦。</w:t>
      </w:r>
      <w:r>
        <w:rPr>
          <w:rFonts w:hint="eastAsia"/>
        </w:rPr>
        <w:t xml:space="preserve"> </w:t>
      </w:r>
    </w:p>
    <w:p w:rsidR="00444A86" w:rsidRDefault="008A6000">
      <w:pPr>
        <w:pStyle w:val="1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經中國銀行台北分行甄選確認。</w:t>
      </w:r>
    </w:p>
    <w:p w:rsidR="00444A86" w:rsidRDefault="008A6000">
      <w:pPr>
        <w:pStyle w:val="1"/>
        <w:widowControl/>
        <w:numPr>
          <w:ilvl w:val="0"/>
          <w:numId w:val="1"/>
        </w:numPr>
        <w:spacing w:line="400" w:lineRule="exact"/>
        <w:ind w:leftChars="0"/>
      </w:pPr>
      <w:r>
        <w:rPr>
          <w:rFonts w:hint="eastAsia"/>
          <w:b/>
        </w:rPr>
        <w:t>實習單位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</w:rPr>
        <w:t>中國銀行合計提供</w:t>
      </w:r>
      <w:r>
        <w:rPr>
          <w:rFonts w:hint="eastAsia"/>
        </w:rPr>
        <w:t>60</w:t>
      </w:r>
      <w:r>
        <w:rPr>
          <w:rFonts w:hint="eastAsia"/>
        </w:rPr>
        <w:t>個實習名額，分別位於中國銀行所屬上海分行</w:t>
      </w:r>
      <w:r>
        <w:rPr>
          <w:rFonts w:hint="eastAsia"/>
        </w:rPr>
        <w:t>(</w:t>
      </w:r>
      <w:r>
        <w:rPr>
          <w:rFonts w:hint="eastAsia"/>
        </w:rPr>
        <w:t>位於上海市</w:t>
      </w:r>
      <w:r>
        <w:rPr>
          <w:rFonts w:hint="eastAsia"/>
        </w:rPr>
        <w:t>)</w:t>
      </w:r>
      <w:r>
        <w:rPr>
          <w:rFonts w:hint="eastAsia"/>
        </w:rPr>
        <w:t>、蘇州分行</w:t>
      </w:r>
      <w:r>
        <w:rPr>
          <w:rFonts w:hint="eastAsia"/>
        </w:rPr>
        <w:t xml:space="preserve"> (</w:t>
      </w:r>
      <w:r>
        <w:rPr>
          <w:rFonts w:hint="eastAsia"/>
        </w:rPr>
        <w:t>位於江蘇省蘇州市</w:t>
      </w:r>
      <w:r>
        <w:rPr>
          <w:rFonts w:hint="eastAsia"/>
        </w:rPr>
        <w:t>)</w:t>
      </w:r>
      <w:r>
        <w:rPr>
          <w:rFonts w:hint="eastAsia"/>
        </w:rPr>
        <w:t>、浙江分行</w:t>
      </w:r>
      <w:r>
        <w:rPr>
          <w:rFonts w:hint="eastAsia"/>
        </w:rPr>
        <w:t>(</w:t>
      </w:r>
      <w:r>
        <w:rPr>
          <w:rFonts w:hint="eastAsia"/>
        </w:rPr>
        <w:t>位於浙江省杭州市</w:t>
      </w:r>
      <w:r>
        <w:rPr>
          <w:rFonts w:hint="eastAsia"/>
        </w:rPr>
        <w:t>)</w:t>
      </w:r>
      <w:r>
        <w:rPr>
          <w:rFonts w:hint="eastAsia"/>
        </w:rPr>
        <w:t>、福建分行</w:t>
      </w:r>
      <w:r>
        <w:rPr>
          <w:rFonts w:hint="eastAsia"/>
        </w:rPr>
        <w:t>(</w:t>
      </w:r>
      <w:r>
        <w:rPr>
          <w:rFonts w:hint="eastAsia"/>
        </w:rPr>
        <w:t>位於福建省福州市</w:t>
      </w:r>
      <w:r>
        <w:rPr>
          <w:rFonts w:hint="eastAsia"/>
        </w:rPr>
        <w:t>)</w:t>
      </w:r>
      <w:r>
        <w:rPr>
          <w:rFonts w:hint="eastAsia"/>
        </w:rPr>
        <w:t>、廣東分行</w:t>
      </w:r>
      <w:r>
        <w:rPr>
          <w:rFonts w:hint="eastAsia"/>
        </w:rPr>
        <w:t>(</w:t>
      </w:r>
      <w:r>
        <w:rPr>
          <w:rFonts w:hint="eastAsia"/>
        </w:rPr>
        <w:t>位於廣東省廣州市</w:t>
      </w:r>
      <w:r>
        <w:rPr>
          <w:rFonts w:hint="eastAsia"/>
        </w:rPr>
        <w:t>)</w:t>
      </w:r>
      <w:r>
        <w:rPr>
          <w:rFonts w:hint="eastAsia"/>
        </w:rPr>
        <w:t>及深圳分行</w:t>
      </w:r>
      <w:r>
        <w:rPr>
          <w:rFonts w:hint="eastAsia"/>
        </w:rPr>
        <w:t>(</w:t>
      </w:r>
      <w:r>
        <w:rPr>
          <w:rFonts w:hint="eastAsia"/>
        </w:rPr>
        <w:t>位於廣東省深圳市</w:t>
      </w:r>
      <w:r>
        <w:rPr>
          <w:rFonts w:hint="eastAsia"/>
        </w:rPr>
        <w:t>)</w:t>
      </w:r>
      <w:r>
        <w:rPr>
          <w:rFonts w:hint="eastAsia"/>
        </w:rPr>
        <w:t>，原則上每分行</w:t>
      </w:r>
      <w:r>
        <w:rPr>
          <w:rFonts w:hint="eastAsia"/>
        </w:rPr>
        <w:t>10</w:t>
      </w:r>
      <w:r>
        <w:rPr>
          <w:rFonts w:hint="eastAsia"/>
        </w:rPr>
        <w:t>人。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</w:rPr>
        <w:t>報名人員可任擇其中三處，依優先順序排列；通過甄選後由中國銀行依其志願，考慮人員報名狀況及各地實際需求後最終派定分發。</w:t>
      </w:r>
    </w:p>
    <w:p w:rsidR="00444A86" w:rsidRDefault="008A6000">
      <w:pPr>
        <w:pStyle w:val="1"/>
        <w:numPr>
          <w:ilvl w:val="0"/>
          <w:numId w:val="1"/>
        </w:numPr>
        <w:spacing w:line="400" w:lineRule="exact"/>
        <w:ind w:leftChars="0"/>
      </w:pPr>
      <w:r>
        <w:rPr>
          <w:rFonts w:hint="eastAsia"/>
          <w:b/>
        </w:rPr>
        <w:t>工作內容</w:t>
      </w:r>
      <w:r>
        <w:rPr>
          <w:rFonts w:hint="eastAsia"/>
        </w:rPr>
        <w:t>：主要從事與業務相關的輔導操作類工作，了解有關工作流程，</w:t>
      </w:r>
    </w:p>
    <w:p w:rsidR="00444A86" w:rsidRDefault="008A6000">
      <w:pPr>
        <w:pStyle w:val="1"/>
        <w:spacing w:line="400" w:lineRule="exact"/>
        <w:ind w:leftChars="0" w:left="1690"/>
      </w:pPr>
      <w:r>
        <w:rPr>
          <w:rFonts w:hint="eastAsia"/>
        </w:rPr>
        <w:t xml:space="preserve">          </w:t>
      </w:r>
      <w:r>
        <w:rPr>
          <w:rFonts w:hint="eastAsia"/>
        </w:rPr>
        <w:t>學習基礎業務。</w:t>
      </w:r>
    </w:p>
    <w:p w:rsidR="00444A86" w:rsidRDefault="008A6000">
      <w:pPr>
        <w:pStyle w:val="1"/>
        <w:numPr>
          <w:ilvl w:val="0"/>
          <w:numId w:val="1"/>
        </w:numPr>
        <w:spacing w:line="400" w:lineRule="exact"/>
        <w:ind w:leftChars="0"/>
      </w:pPr>
      <w:r>
        <w:rPr>
          <w:rFonts w:hint="eastAsia"/>
          <w:b/>
        </w:rPr>
        <w:t>工作待遇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  <w:b/>
        </w:rPr>
        <w:t>住宿</w:t>
      </w:r>
      <w:r>
        <w:rPr>
          <w:rFonts w:hint="eastAsia"/>
        </w:rPr>
        <w:t>：由實習單位統一提供</w:t>
      </w:r>
      <w:r>
        <w:rPr>
          <w:rFonts w:hint="eastAsia"/>
        </w:rPr>
        <w:t xml:space="preserve">, </w:t>
      </w:r>
      <w:r>
        <w:rPr>
          <w:rFonts w:hint="eastAsia"/>
        </w:rPr>
        <w:t>每兩人入住一間雙人標準間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  <w:b/>
        </w:rPr>
        <w:t>餐飲</w:t>
      </w:r>
      <w:r>
        <w:rPr>
          <w:rFonts w:hint="eastAsia"/>
        </w:rPr>
        <w:t>：工作日由實習單位安排，與正式員工相同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  <w:b/>
        </w:rPr>
        <w:t>實習補助</w:t>
      </w:r>
      <w:r>
        <w:rPr>
          <w:rFonts w:hint="eastAsia"/>
        </w:rPr>
        <w:t>：為協助支應日常餐飲及交通，實習生享有</w:t>
      </w:r>
      <w:r>
        <w:rPr>
          <w:rFonts w:hint="eastAsia"/>
        </w:rPr>
        <w:t>100</w:t>
      </w:r>
      <w:r>
        <w:rPr>
          <w:rFonts w:hint="eastAsia"/>
        </w:rPr>
        <w:t>元人民</w:t>
      </w:r>
    </w:p>
    <w:p w:rsidR="00444A86" w:rsidRDefault="008A6000">
      <w:pPr>
        <w:pStyle w:val="1"/>
        <w:spacing w:line="400" w:lineRule="exact"/>
        <w:ind w:leftChars="0" w:left="1690" w:firstLineChars="250" w:firstLine="600"/>
      </w:pPr>
      <w:r>
        <w:rPr>
          <w:rFonts w:hint="eastAsia"/>
        </w:rPr>
        <w:t xml:space="preserve">        </w:t>
      </w:r>
      <w:r>
        <w:rPr>
          <w:rFonts w:hint="eastAsia"/>
        </w:rPr>
        <w:t>幣</w:t>
      </w:r>
      <w:r>
        <w:rPr>
          <w:rFonts w:hint="eastAsia"/>
        </w:rPr>
        <w:t>\</w:t>
      </w:r>
      <w:r>
        <w:rPr>
          <w:rFonts w:hint="eastAsia"/>
        </w:rPr>
        <w:t>天</w:t>
      </w:r>
      <w:r>
        <w:rPr>
          <w:rFonts w:hint="eastAsia"/>
        </w:rPr>
        <w:t>(</w:t>
      </w:r>
      <w:r>
        <w:rPr>
          <w:rFonts w:hint="eastAsia"/>
        </w:rPr>
        <w:t>稅前</w:t>
      </w:r>
      <w:r>
        <w:rPr>
          <w:rFonts w:hint="eastAsia"/>
        </w:rPr>
        <w:t>)</w:t>
      </w:r>
      <w:r>
        <w:rPr>
          <w:rFonts w:hint="eastAsia"/>
        </w:rPr>
        <w:t>之補助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  <w:b/>
        </w:rPr>
        <w:t>意外保險</w:t>
      </w:r>
      <w:r>
        <w:rPr>
          <w:rFonts w:hint="eastAsia"/>
        </w:rPr>
        <w:t>：由實習單位為實習生購買在大陸期間的人身意外保險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  <w:b/>
        </w:rPr>
        <w:t>專人輔導</w:t>
      </w:r>
      <w:r>
        <w:rPr>
          <w:rFonts w:hint="eastAsia"/>
        </w:rPr>
        <w:t>：各實習單位派有專人為輔導老師，指導實習生開展工作，熟</w:t>
      </w:r>
    </w:p>
    <w:p w:rsidR="00444A86" w:rsidRDefault="008A6000">
      <w:pPr>
        <w:pStyle w:val="1"/>
        <w:spacing w:line="400" w:lineRule="exact"/>
        <w:ind w:leftChars="0" w:left="1690" w:firstLineChars="300" w:firstLine="720"/>
      </w:pPr>
      <w:r>
        <w:rPr>
          <w:rFonts w:hint="eastAsia"/>
        </w:rPr>
        <w:t xml:space="preserve">       </w:t>
      </w:r>
      <w:r>
        <w:rPr>
          <w:rFonts w:hint="eastAsia"/>
        </w:rPr>
        <w:t>悉工作與生活環境及日常管理。</w:t>
      </w:r>
    </w:p>
    <w:p w:rsidR="00444A86" w:rsidRDefault="008A6000">
      <w:pPr>
        <w:pStyle w:val="1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報名：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</w:rPr>
        <w:t>即日起開始報名，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日下午五時前截止。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</w:pPr>
      <w:r>
        <w:rPr>
          <w:rFonts w:hint="eastAsia"/>
        </w:rPr>
        <w:t>錄用人員名單於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日公布，</w:t>
      </w:r>
      <w:r>
        <w:rPr>
          <w:rFonts w:hint="eastAsia"/>
        </w:rPr>
        <w:t xml:space="preserve"> </w:t>
      </w:r>
      <w:r>
        <w:rPr>
          <w:rFonts w:hint="eastAsia"/>
        </w:rPr>
        <w:t>並正式通知。</w:t>
      </w:r>
    </w:p>
    <w:p w:rsidR="00444A86" w:rsidRDefault="008A6000">
      <w:pPr>
        <w:pStyle w:val="1"/>
        <w:numPr>
          <w:ilvl w:val="1"/>
          <w:numId w:val="1"/>
        </w:numPr>
        <w:spacing w:line="400" w:lineRule="exact"/>
        <w:ind w:leftChars="0"/>
        <w:rPr>
          <w:b/>
        </w:rPr>
      </w:pPr>
      <w:r>
        <w:rPr>
          <w:rFonts w:hint="eastAsia"/>
        </w:rPr>
        <w:t>報名請洽：</w:t>
      </w:r>
      <w:r>
        <w:rPr>
          <w:rFonts w:hint="eastAsia"/>
          <w:b/>
        </w:rPr>
        <w:t>全國台企聯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聯絡人：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張強、劉醒</w:t>
      </w:r>
    </w:p>
    <w:p w:rsidR="00444A86" w:rsidRDefault="008A6000">
      <w:pPr>
        <w:spacing w:line="400" w:lineRule="exact"/>
        <w:rPr>
          <w:lang w:eastAsia="zh-CN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電話：</w:t>
      </w:r>
      <w:r>
        <w:rPr>
          <w:rFonts w:hint="eastAsia"/>
        </w:rPr>
        <w:t xml:space="preserve">+86-10-83550099  </w:t>
      </w:r>
      <w:r>
        <w:rPr>
          <w:rFonts w:hint="eastAsia"/>
        </w:rPr>
        <w:t>傳真：</w:t>
      </w:r>
      <w:r>
        <w:rPr>
          <w:rFonts w:hint="eastAsia"/>
        </w:rPr>
        <w:t xml:space="preserve">+86-10-83523828  </w:t>
      </w:r>
      <w:r>
        <w:rPr>
          <w:rFonts w:hint="eastAsia"/>
          <w:lang w:eastAsia="zh-CN"/>
        </w:rPr>
        <w:t xml:space="preserve"> </w:t>
      </w:r>
    </w:p>
    <w:p w:rsidR="00444A86" w:rsidRDefault="008A6000">
      <w:pPr>
        <w:spacing w:line="400" w:lineRule="exact"/>
      </w:pPr>
      <w:r>
        <w:rPr>
          <w:rFonts w:hint="eastAsia"/>
          <w:lang w:eastAsia="zh-CN"/>
        </w:rPr>
        <w:t xml:space="preserve">                 </w:t>
      </w:r>
      <w:hyperlink r:id="rId7" w:history="1">
        <w:r>
          <w:rPr>
            <w:rStyle w:val="a6"/>
            <w:rFonts w:hint="eastAsia"/>
          </w:rPr>
          <w:t>http://www.qgtql.com</w:t>
        </w:r>
      </w:hyperlink>
      <w:r>
        <w:rPr>
          <w:rFonts w:hint="eastAsia"/>
        </w:rPr>
        <w:t xml:space="preserve"> </w:t>
      </w:r>
    </w:p>
    <w:p w:rsidR="00444A86" w:rsidRDefault="008A6000">
      <w:pPr>
        <w:spacing w:line="400" w:lineRule="exact"/>
      </w:pPr>
      <w:r>
        <w:rPr>
          <w:rFonts w:hint="eastAsia"/>
        </w:rPr>
        <w:t xml:space="preserve">                 </w:t>
      </w:r>
      <w:r>
        <w:rPr>
          <w:rFonts w:hint="eastAsia"/>
        </w:rPr>
        <w:t>電子信箱：</w:t>
      </w:r>
      <w:r>
        <w:rPr>
          <w:rFonts w:hint="eastAsia"/>
        </w:rPr>
        <w:t xml:space="preserve"> </w:t>
      </w:r>
      <w:r>
        <w:t>Email</w:t>
      </w:r>
      <w:r>
        <w:t>：</w:t>
      </w:r>
      <w:r>
        <w:t>qgtql@sohu.com</w:t>
      </w:r>
    </w:p>
    <w:p w:rsidR="00444A86" w:rsidRDefault="008A6000">
      <w:pPr>
        <w:pStyle w:val="Default"/>
        <w:jc w:val="center"/>
        <w:rPr>
          <w:rFonts w:ascii="Calibri" w:cs="Calibri"/>
          <w:b/>
          <w:bCs/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台灣學生參加</w:t>
      </w:r>
      <w:r>
        <w:rPr>
          <w:sz w:val="40"/>
          <w:szCs w:val="40"/>
        </w:rPr>
        <w:t>2015</w:t>
      </w:r>
      <w:r>
        <w:rPr>
          <w:rFonts w:hint="eastAsia"/>
          <w:sz w:val="40"/>
          <w:szCs w:val="40"/>
        </w:rPr>
        <w:t>年中國銀行暑期實習報名表</w:t>
      </w:r>
    </w:p>
    <w:tbl>
      <w:tblPr>
        <w:tblW w:w="8217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700"/>
        <w:gridCol w:w="345"/>
        <w:gridCol w:w="506"/>
        <w:gridCol w:w="283"/>
        <w:gridCol w:w="567"/>
        <w:gridCol w:w="549"/>
        <w:gridCol w:w="160"/>
        <w:gridCol w:w="95"/>
        <w:gridCol w:w="596"/>
        <w:gridCol w:w="1718"/>
      </w:tblGrid>
      <w:tr w:rsidR="00444A86">
        <w:trPr>
          <w:jc w:val="center"/>
        </w:trPr>
        <w:tc>
          <w:tcPr>
            <w:tcW w:w="1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黏貼</w:t>
            </w:r>
          </w:p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二吋照片一張</w:t>
            </w:r>
          </w:p>
        </w:tc>
      </w:tr>
      <w:tr w:rsidR="00444A86">
        <w:trPr>
          <w:jc w:val="center"/>
        </w:trPr>
        <w:tc>
          <w:tcPr>
            <w:tcW w:w="1698" w:type="dxa"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jc w:val="center"/>
        </w:trPr>
        <w:tc>
          <w:tcPr>
            <w:tcW w:w="1698" w:type="dxa"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身分證號碼</w:t>
            </w:r>
          </w:p>
        </w:tc>
        <w:tc>
          <w:tcPr>
            <w:tcW w:w="4110" w:type="dxa"/>
            <w:gridSpan w:val="7"/>
            <w:tcBorders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jc w:val="center"/>
        </w:trPr>
        <w:tc>
          <w:tcPr>
            <w:tcW w:w="1698" w:type="dxa"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台胞證號碼</w:t>
            </w:r>
          </w:p>
        </w:tc>
        <w:tc>
          <w:tcPr>
            <w:tcW w:w="4110" w:type="dxa"/>
            <w:gridSpan w:val="7"/>
            <w:tcBorders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jc w:val="center"/>
        </w:trPr>
        <w:tc>
          <w:tcPr>
            <w:tcW w:w="1698" w:type="dxa"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3401" w:type="dxa"/>
            <w:gridSpan w:val="5"/>
            <w:tcBorders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4"/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家裡電話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jc w:val="center"/>
        </w:trPr>
        <w:tc>
          <w:tcPr>
            <w:tcW w:w="1698" w:type="dxa"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19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32"/>
                <w:szCs w:val="32"/>
              </w:rPr>
            </w:pPr>
          </w:p>
        </w:tc>
      </w:tr>
      <w:tr w:rsidR="00444A86">
        <w:trPr>
          <w:jc w:val="center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通訊住址</w:t>
            </w:r>
          </w:p>
        </w:tc>
        <w:tc>
          <w:tcPr>
            <w:tcW w:w="6519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32"/>
                <w:szCs w:val="32"/>
              </w:rPr>
            </w:pPr>
          </w:p>
        </w:tc>
      </w:tr>
      <w:tr w:rsidR="00444A86">
        <w:trPr>
          <w:trHeight w:val="576"/>
          <w:jc w:val="center"/>
        </w:trPr>
        <w:tc>
          <w:tcPr>
            <w:tcW w:w="821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緊急聯絡資訊</w:t>
            </w:r>
          </w:p>
        </w:tc>
      </w:tr>
      <w:tr w:rsidR="00444A86">
        <w:trPr>
          <w:trHeight w:val="730"/>
          <w:jc w:val="center"/>
        </w:trPr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聯絡人姓名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44A86" w:rsidRDefault="008A6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關係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44A86" w:rsidRDefault="00444A86">
            <w:pPr>
              <w:pStyle w:val="Default"/>
              <w:jc w:val="center"/>
            </w:pPr>
          </w:p>
        </w:tc>
        <w:tc>
          <w:tcPr>
            <w:tcW w:w="140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jc w:val="center"/>
        </w:trPr>
        <w:tc>
          <w:tcPr>
            <w:tcW w:w="821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學校資訊</w:t>
            </w:r>
          </w:p>
        </w:tc>
      </w:tr>
      <w:tr w:rsidR="00444A86">
        <w:trPr>
          <w:jc w:val="center"/>
        </w:trPr>
        <w:tc>
          <w:tcPr>
            <w:tcW w:w="1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就讀學校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系所</w:t>
            </w:r>
          </w:p>
        </w:tc>
        <w:tc>
          <w:tcPr>
            <w:tcW w:w="1399" w:type="dxa"/>
            <w:gridSpan w:val="3"/>
            <w:tcBorders>
              <w:top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1718" w:type="dxa"/>
            <w:tcBorders>
              <w:top w:val="single" w:sz="18" w:space="0" w:color="auto"/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trHeight w:val="384"/>
          <w:jc w:val="center"/>
        </w:trPr>
        <w:tc>
          <w:tcPr>
            <w:tcW w:w="169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個人專長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Merge w:val="restart"/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851" w:type="dxa"/>
            <w:gridSpan w:val="3"/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trHeight w:val="384"/>
          <w:jc w:val="center"/>
        </w:trPr>
        <w:tc>
          <w:tcPr>
            <w:tcW w:w="16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Merge/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trHeight w:val="384"/>
          <w:jc w:val="center"/>
        </w:trPr>
        <w:tc>
          <w:tcPr>
            <w:tcW w:w="16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Merge/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簽名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jc w:val="center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生活或健康特殊事項</w:t>
            </w:r>
          </w:p>
        </w:tc>
        <w:tc>
          <w:tcPr>
            <w:tcW w:w="6519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444A86">
            <w:pPr>
              <w:pStyle w:val="Default"/>
              <w:rPr>
                <w:sz w:val="28"/>
                <w:szCs w:val="28"/>
              </w:rPr>
            </w:pPr>
          </w:p>
        </w:tc>
      </w:tr>
      <w:tr w:rsidR="00444A86">
        <w:trPr>
          <w:trHeight w:val="576"/>
          <w:jc w:val="center"/>
        </w:trPr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志願順序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   </w:t>
            </w:r>
            <w:r>
              <w:rPr>
                <w:rFonts w:hint="eastAsia"/>
                <w:sz w:val="28"/>
                <w:szCs w:val="28"/>
              </w:rPr>
              <w:t>分行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</w:rPr>
              <w:t xml:space="preserve">.     </w:t>
            </w:r>
            <w:r>
              <w:rPr>
                <w:rFonts w:hint="eastAsia"/>
                <w:sz w:val="28"/>
                <w:szCs w:val="28"/>
              </w:rPr>
              <w:t>分行</w:t>
            </w: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Default="008A6000">
            <w:pPr>
              <w:pStyle w:val="Default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</w:rPr>
              <w:t xml:space="preserve">.     </w:t>
            </w:r>
            <w:r>
              <w:rPr>
                <w:rFonts w:eastAsia="宋体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分行</w:t>
            </w:r>
          </w:p>
        </w:tc>
      </w:tr>
    </w:tbl>
    <w:p w:rsidR="00444A86" w:rsidRDefault="00444A86">
      <w:pPr>
        <w:spacing w:line="400" w:lineRule="exact"/>
      </w:pPr>
    </w:p>
    <w:sectPr w:rsidR="00444A86">
      <w:pgSz w:w="11906" w:h="16838"/>
      <w:pgMar w:top="1440" w:right="850" w:bottom="1440" w:left="85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MingLiU"/>
    <w:charset w:val="88"/>
    <w:family w:val="auto"/>
    <w:pitch w:val="default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2E93"/>
    <w:multiLevelType w:val="multilevel"/>
    <w:tmpl w:val="4C7D2E93"/>
    <w:lvl w:ilvl="0">
      <w:start w:val="1"/>
      <w:numFmt w:val="taiwaneseCountingThousand"/>
      <w:lvlText w:val="%1、"/>
      <w:lvlJc w:val="left"/>
      <w:pPr>
        <w:ind w:left="169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0" w:hanging="360"/>
      </w:pPr>
      <w:rPr>
        <w:rFonts w:ascii="Calibri" w:hAnsi="Calibri" w:hint="default"/>
      </w:rPr>
    </w:lvl>
    <w:lvl w:ilvl="2" w:tentative="1">
      <w:start w:val="1"/>
      <w:numFmt w:val="lowerRoman"/>
      <w:lvlText w:val="%3."/>
      <w:lvlJc w:val="right"/>
      <w:pPr>
        <w:ind w:left="2650" w:hanging="480"/>
      </w:pPr>
    </w:lvl>
    <w:lvl w:ilvl="3" w:tentative="1">
      <w:start w:val="1"/>
      <w:numFmt w:val="decimal"/>
      <w:lvlText w:val="%4."/>
      <w:lvlJc w:val="left"/>
      <w:pPr>
        <w:ind w:left="3130" w:hanging="480"/>
      </w:pPr>
    </w:lvl>
    <w:lvl w:ilvl="4" w:tentative="1">
      <w:start w:val="1"/>
      <w:numFmt w:val="ideographTraditional"/>
      <w:lvlText w:val="%5、"/>
      <w:lvlJc w:val="left"/>
      <w:pPr>
        <w:ind w:left="3610" w:hanging="480"/>
      </w:pPr>
    </w:lvl>
    <w:lvl w:ilvl="5" w:tentative="1">
      <w:start w:val="1"/>
      <w:numFmt w:val="lowerRoman"/>
      <w:lvlText w:val="%6."/>
      <w:lvlJc w:val="right"/>
      <w:pPr>
        <w:ind w:left="4090" w:hanging="480"/>
      </w:pPr>
    </w:lvl>
    <w:lvl w:ilvl="6" w:tentative="1">
      <w:start w:val="1"/>
      <w:numFmt w:val="decimal"/>
      <w:lvlText w:val="%7."/>
      <w:lvlJc w:val="left"/>
      <w:pPr>
        <w:ind w:left="4570" w:hanging="480"/>
      </w:pPr>
    </w:lvl>
    <w:lvl w:ilvl="7" w:tentative="1">
      <w:start w:val="1"/>
      <w:numFmt w:val="ideographTraditional"/>
      <w:lvlText w:val="%8、"/>
      <w:lvlJc w:val="left"/>
      <w:pPr>
        <w:ind w:left="5050" w:hanging="480"/>
      </w:pPr>
    </w:lvl>
    <w:lvl w:ilvl="8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1">
    <w:nsid w:val="720922A1"/>
    <w:multiLevelType w:val="multilevel"/>
    <w:tmpl w:val="720922A1"/>
    <w:lvl w:ilvl="0">
      <w:start w:val="1"/>
      <w:numFmt w:val="decimal"/>
      <w:lvlText w:val="%1."/>
      <w:lvlJc w:val="left"/>
      <w:pPr>
        <w:ind w:left="205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650" w:hanging="480"/>
      </w:pPr>
    </w:lvl>
    <w:lvl w:ilvl="2" w:tentative="1">
      <w:start w:val="1"/>
      <w:numFmt w:val="lowerRoman"/>
      <w:lvlText w:val="%3."/>
      <w:lvlJc w:val="right"/>
      <w:pPr>
        <w:ind w:left="3130" w:hanging="480"/>
      </w:pPr>
    </w:lvl>
    <w:lvl w:ilvl="3" w:tentative="1">
      <w:start w:val="1"/>
      <w:numFmt w:val="decimal"/>
      <w:lvlText w:val="%4."/>
      <w:lvlJc w:val="left"/>
      <w:pPr>
        <w:ind w:left="3610" w:hanging="480"/>
      </w:pPr>
    </w:lvl>
    <w:lvl w:ilvl="4" w:tentative="1">
      <w:start w:val="1"/>
      <w:numFmt w:val="ideographTraditional"/>
      <w:lvlText w:val="%5、"/>
      <w:lvlJc w:val="left"/>
      <w:pPr>
        <w:ind w:left="4090" w:hanging="480"/>
      </w:pPr>
    </w:lvl>
    <w:lvl w:ilvl="5" w:tentative="1">
      <w:start w:val="1"/>
      <w:numFmt w:val="lowerRoman"/>
      <w:lvlText w:val="%6."/>
      <w:lvlJc w:val="right"/>
      <w:pPr>
        <w:ind w:left="4570" w:hanging="480"/>
      </w:pPr>
    </w:lvl>
    <w:lvl w:ilvl="6" w:tentative="1">
      <w:start w:val="1"/>
      <w:numFmt w:val="decimal"/>
      <w:lvlText w:val="%7."/>
      <w:lvlJc w:val="left"/>
      <w:pPr>
        <w:ind w:left="5050" w:hanging="480"/>
      </w:pPr>
    </w:lvl>
    <w:lvl w:ilvl="7" w:tentative="1">
      <w:start w:val="1"/>
      <w:numFmt w:val="ideographTraditional"/>
      <w:lvlText w:val="%8、"/>
      <w:lvlJc w:val="left"/>
      <w:pPr>
        <w:ind w:left="5530" w:hanging="480"/>
      </w:pPr>
    </w:lvl>
    <w:lvl w:ilvl="8" w:tentative="1">
      <w:start w:val="1"/>
      <w:numFmt w:val="lowerRoman"/>
      <w:lvlText w:val="%9."/>
      <w:lvlJc w:val="right"/>
      <w:pPr>
        <w:ind w:left="60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0A27"/>
    <w:rsid w:val="00344959"/>
    <w:rsid w:val="00444A86"/>
    <w:rsid w:val="005E1097"/>
    <w:rsid w:val="006650D3"/>
    <w:rsid w:val="00732007"/>
    <w:rsid w:val="0075103A"/>
    <w:rsid w:val="0077685D"/>
    <w:rsid w:val="007863A6"/>
    <w:rsid w:val="008A6000"/>
    <w:rsid w:val="00A22815"/>
    <w:rsid w:val="00A634F6"/>
    <w:rsid w:val="00A9704D"/>
    <w:rsid w:val="00AB0A27"/>
    <w:rsid w:val="00AB588B"/>
    <w:rsid w:val="00B30027"/>
    <w:rsid w:val="00BC344F"/>
    <w:rsid w:val="00E22B5E"/>
    <w:rsid w:val="00E24592"/>
    <w:rsid w:val="00FA1B07"/>
    <w:rsid w:val="00FE02F0"/>
    <w:rsid w:val="071C1AB9"/>
    <w:rsid w:val="1CE83979"/>
    <w:rsid w:val="27B31EFB"/>
    <w:rsid w:val="521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rmal (Web)"/>
    <w:basedOn w:val="a"/>
    <w:unhideWhenUsed/>
  </w:style>
  <w:style w:type="character" w:styleId="a6">
    <w:name w:val="Hyperlink"/>
    <w:basedOn w:val="a0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leftChars="200" w:left="480"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sz w:val="24"/>
      <w:szCs w:val="24"/>
      <w:lang w:eastAsia="zh-TW"/>
    </w:rPr>
  </w:style>
  <w:style w:type="character" w:customStyle="1" w:styleId="Char0">
    <w:name w:val="页眉 Char"/>
    <w:basedOn w:val="a0"/>
    <w:link w:val="a4"/>
    <w:uiPriority w:val="99"/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rPr>
      <w:sz w:val="20"/>
      <w:szCs w:val="20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gtq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大家好</dc:title>
  <dc:creator>eugene</dc:creator>
  <cp:lastModifiedBy>Lenovo User</cp:lastModifiedBy>
  <cp:revision>1</cp:revision>
  <dcterms:created xsi:type="dcterms:W3CDTF">2015-07-17T15:17:00Z</dcterms:created>
  <dcterms:modified xsi:type="dcterms:W3CDTF">2015-07-20T03:02:00Z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